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401.01: Equal Employment Opportunity</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u w:val="single"/>
          <w:shd w:fill="ffe599" w:val="clear"/>
        </w:rPr>
      </w:pPr>
      <w:bookmarkStart w:colFirst="0" w:colLast="0" w:name="_heading=h.gjdgxs" w:id="0"/>
      <w:bookmarkEnd w:id="0"/>
      <w:r w:rsidDel="00000000" w:rsidR="00000000" w:rsidRPr="00000000">
        <w:rPr>
          <w:rFonts w:ascii="Lato" w:cs="Lato" w:eastAsia="Lato" w:hAnsi="Lato"/>
          <w:rtl w:val="0"/>
        </w:rPr>
        <w:t xml:space="preserve">The Tri-County Community School District will provide equal opportunity to employees and applicants for employment in accordance with applicable equal employment opportunity and affirmative action laws, directives and regulations of federal, state and local governing bodies.  Opportunity to all employees and applicants for employment includes hiring, placement, promotion, transfer or demotion, recruitment, advertising or solicitation for employment, treatment during employment, rates of pay or other forms of compensation, and layoff or termination.  The school district will take affirmative action in major job categories where women, men, minorities and persons with disabilities are underrepresented.  Employees will support and comply with the district's established equal employment opportunity and affirmative action policies.  Employees will be given notice of this policy annually.</w:t>
        <w:br w:type="textWrapping"/>
        <w:br w:type="textWrapping"/>
        <w:t xml:space="preserve">The board will appoint an affirmative action coordinator.  The affirmative action coordinator will have the responsibility for drafting the affirmative action plan.  The affirmative action plan will be reviewed by the board at least every two years.</w:t>
        <w:br w:type="textWrapping"/>
        <w:br w:type="textWrapping"/>
        <w:t xml:space="preserve">Individuals who file an application with the school district will be given consideration for employment if they meet or exceed the qualifications set by the board, administration, and Iowa Department of Education for the position for which they apply.  In employing individuals, the board will consider the qualifications, credentials, and records of the applicants without regard to race, color, creed, sex, national origin, religion, age, sexual orientation, gender identity or disability.  In keeping with the law, the board will consider the veteran status of applicants.</w:t>
        <w:br w:type="textWrapping"/>
        <w:br w:type="textWrapping"/>
      </w:r>
      <w:r w:rsidDel="00000000" w:rsidR="00000000" w:rsidRPr="00000000">
        <w:rPr>
          <w:rFonts w:ascii="Lato" w:cs="Lato" w:eastAsia="Lato" w:hAnsi="Lato"/>
          <w:highlight w:val="white"/>
          <w:rtl w:val="0"/>
        </w:rPr>
        <w:t xml:space="preserve">Prior to a final offer of employment the school district will perform the background checks required by law.  Based upon the results of the background checks, the school district will determine whether an offer will be extended.  If the candidate is a teacher who has an initial license from the BOEE, then the requirement for a background check is waived.</w:t>
      </w:r>
      <w:r w:rsidDel="00000000" w:rsidR="00000000" w:rsidRPr="00000000">
        <w:rPr>
          <w:rFonts w:ascii="Lato" w:cs="Lato" w:eastAsia="Lato" w:hAnsi="Lato"/>
          <w:rtl w:val="0"/>
        </w:rPr>
        <w:t xml:space="preserve">The district will perform repeat background checks on applicable</w:t>
      </w:r>
      <w:r w:rsidDel="00000000" w:rsidR="00000000" w:rsidRPr="00000000">
        <w:rPr>
          <w:rFonts w:ascii="Lato" w:cs="Lato" w:eastAsia="Lato" w:hAnsi="Lato"/>
          <w:highlight w:val="white"/>
          <w:rtl w:val="0"/>
        </w:rPr>
        <w:t xml:space="preserve"> employees as required by law. </w:t>
      </w:r>
      <w:r w:rsidDel="00000000" w:rsidR="00000000" w:rsidRPr="00000000">
        <w:rPr>
          <w:rFonts w:ascii="Lato" w:cs="Lato" w:eastAsia="Lato" w:hAnsi="Lato"/>
          <w:rtl w:val="0"/>
        </w:rPr>
        <w:br w:type="textWrapping"/>
        <w:br w:type="textWrapping"/>
        <w:t xml:space="preserve">Advertisements and notices for vacancies within the district will contain the following statement:  "The </w:t>
      </w:r>
      <w:r w:rsidDel="00000000" w:rsidR="00000000" w:rsidRPr="00000000">
        <w:rPr>
          <w:rtl w:val="0"/>
        </w:rPr>
        <w:t xml:space="preserve">Tri-County </w:t>
      </w:r>
      <w:r w:rsidDel="00000000" w:rsidR="00000000" w:rsidRPr="00000000">
        <w:rPr>
          <w:rFonts w:ascii="Lato" w:cs="Lato" w:eastAsia="Lato" w:hAnsi="Lato"/>
          <w:rtl w:val="0"/>
        </w:rPr>
        <w:t xml:space="preserve">Community School District is an EEO/AA employer."  The statement will also appear on application forms.</w:t>
        <w:br w:type="textWrapping"/>
        <w:br w:type="textWrapping"/>
        <w:t xml:space="preserve">Inquiries by employees or applicants for employment regarding compliance with equal employment opportunity and affirmative action laws and policies, including but not limited to complaints of discrimination, will be directed to the Affirmative Action Coordinator by writing to the Affirmative Action Coordinator, High School Principal</w:t>
      </w:r>
      <w:r w:rsidDel="00000000" w:rsidR="00000000" w:rsidRPr="00000000">
        <w:rPr>
          <w:rFonts w:ascii="Lato" w:cs="Lato" w:eastAsia="Lato" w:hAnsi="Lato"/>
          <w:u w:val="single"/>
          <w:rtl w:val="0"/>
        </w:rPr>
        <w:t xml:space="preserve">     Tri-County               </w:t>
      </w:r>
      <w:r w:rsidDel="00000000" w:rsidR="00000000" w:rsidRPr="00000000">
        <w:rPr>
          <w:rFonts w:ascii="Lato" w:cs="Lato" w:eastAsia="Lato" w:hAnsi="Lato"/>
          <w:rtl w:val="0"/>
        </w:rPr>
        <w:t xml:space="preserve"> Community School District, </w:t>
      </w:r>
      <w:r w:rsidDel="00000000" w:rsidR="00000000" w:rsidRPr="00000000">
        <w:rPr>
          <w:rFonts w:ascii="Lato" w:cs="Lato" w:eastAsia="Lato" w:hAnsi="Lato"/>
          <w:u w:val="single"/>
          <w:rtl w:val="0"/>
        </w:rPr>
        <w:t xml:space="preserve">      Thornburg        </w:t>
      </w:r>
      <w:r w:rsidDel="00000000" w:rsidR="00000000" w:rsidRPr="00000000">
        <w:rPr>
          <w:rFonts w:ascii="Lato" w:cs="Lato" w:eastAsia="Lato" w:hAnsi="Lato"/>
          <w:rtl w:val="0"/>
        </w:rPr>
        <w:t xml:space="preserve"> , Iowa </w:t>
      </w:r>
      <w:r w:rsidDel="00000000" w:rsidR="00000000" w:rsidRPr="00000000">
        <w:rPr>
          <w:rFonts w:ascii="Lato" w:cs="Lato" w:eastAsia="Lato" w:hAnsi="Lato"/>
          <w:u w:val="single"/>
          <w:rtl w:val="0"/>
        </w:rPr>
        <w:t xml:space="preserve">  50255          </w:t>
      </w:r>
      <w:r w:rsidDel="00000000" w:rsidR="00000000" w:rsidRPr="00000000">
        <w:rPr>
          <w:rFonts w:ascii="Lato" w:cs="Lato" w:eastAsia="Lato" w:hAnsi="Lato"/>
          <w:rtl w:val="0"/>
        </w:rPr>
        <w:t xml:space="preserve"> ; or by telephoning </w:t>
      </w:r>
      <w:r w:rsidDel="00000000" w:rsidR="00000000" w:rsidRPr="00000000">
        <w:rPr>
          <w:rFonts w:ascii="Lato" w:cs="Lato" w:eastAsia="Lato" w:hAnsi="Lato"/>
          <w:u w:val="single"/>
          <w:rtl w:val="0"/>
        </w:rPr>
        <w:t xml:space="preserve">    641-634-2636             </w:t>
      </w:r>
      <w:r w:rsidDel="00000000" w:rsidR="00000000" w:rsidRPr="00000000">
        <w:rPr>
          <w:rFonts w:ascii="Lato" w:cs="Lato" w:eastAsia="Lato" w:hAnsi="Lato"/>
          <w:rtl w:val="0"/>
        </w:rPr>
        <w:t xml:space="preserve">. </w:t>
        <w:br w:type="textWrapping"/>
        <w:br w:type="textWrapping"/>
        <w:t xml:space="preserve">Inquiries by employees or applicants for employment regarding compliance with equal employment opportunity and affirmative action laws and policies, including but not limited to complaints of discrimination, may also be directed in writing to the Equal Employment Opportunity Commissions, Milwaukee Area Office, Reuss Federal Plaza, 310 West Wisconsin Ave., Suite 800, Milwaukee, WI., 53203-2292, (800) 669-4000 or TTY (800) 669-6820. </w:t>
      </w:r>
      <w:hyperlink r:id="rId7">
        <w:r w:rsidDel="00000000" w:rsidR="00000000" w:rsidRPr="00000000">
          <w:rPr>
            <w:rFonts w:ascii="Lato" w:cs="Lato" w:eastAsia="Lato" w:hAnsi="Lato"/>
            <w:color w:val="0000ff"/>
            <w:u w:val="single"/>
            <w:rtl w:val="0"/>
          </w:rPr>
          <w:t xml:space="preserve">http://www.eeoc.gov/field/milwaukee/index.cfm</w:t>
        </w:r>
      </w:hyperlink>
      <w:r w:rsidDel="00000000" w:rsidR="00000000" w:rsidRPr="00000000">
        <w:rPr>
          <w:rFonts w:ascii="Lato" w:cs="Lato" w:eastAsia="Lato" w:hAnsi="Lato"/>
          <w:rtl w:val="0"/>
        </w:rPr>
        <w:t xml:space="preserve"> or the Iowa Civil Rights Commission, 400 E. 14th Street, Des Moines, Iowa, 50319-1004, (515) 281-4121 or 1-800-457-4416, </w:t>
      </w:r>
      <w:hyperlink r:id="rId8">
        <w:r w:rsidDel="00000000" w:rsidR="00000000" w:rsidRPr="00000000">
          <w:rPr>
            <w:rFonts w:ascii="Lato" w:cs="Lato" w:eastAsia="Lato" w:hAnsi="Lato"/>
            <w:color w:val="0000ff"/>
            <w:u w:val="single"/>
            <w:rtl w:val="0"/>
          </w:rPr>
          <w:t xml:space="preserve">http://www.state.ia.us/government/crc/index.html</w:t>
        </w:r>
      </w:hyperlink>
      <w:r w:rsidDel="00000000" w:rsidR="00000000" w:rsidRPr="00000000">
        <w:rPr>
          <w:rFonts w:ascii="Lato" w:cs="Lato" w:eastAsia="Lato" w:hAnsi="Lato"/>
          <w:rtl w:val="0"/>
        </w:rPr>
        <w:t xml:space="preserve">.  This inquiry or complaint to the federal office may be done instead of, or in addition to, an inquiry or complaint at the local level.</w:t>
        <w:br w:type="textWrapping"/>
        <w:br w:type="textWrapping"/>
        <w:t xml:space="preserve">Further information and copies of the procedures for filing a complaint are available in the school district's central administrative office and the administrative office in each attendance center.</w:t>
        <w:br w:type="textWrapping"/>
        <w:t xml:space="preserve">  </w:t>
      </w:r>
      <w:r w:rsidDel="00000000" w:rsidR="00000000" w:rsidRPr="00000000">
        <w:rPr>
          <w:rtl w:val="0"/>
        </w:rPr>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29 U.S.C. §§ 621-634.</w:t>
              <w:br w:type="textWrapping"/>
              <w:t xml:space="preserve">42 U.S.C. §§ 2000e </w:t>
            </w:r>
            <w:r w:rsidDel="00000000" w:rsidR="00000000" w:rsidRPr="00000000">
              <w:rPr>
                <w:rFonts w:ascii="Lato" w:cs="Lato" w:eastAsia="Lato" w:hAnsi="Lato"/>
                <w:i w:val="1"/>
                <w:rtl w:val="0"/>
              </w:rPr>
              <w:t xml:space="preserve">et seq</w:t>
            </w:r>
            <w:r w:rsidDel="00000000" w:rsidR="00000000" w:rsidRPr="00000000">
              <w:rPr>
                <w:rFonts w:ascii="Lato" w:cs="Lato" w:eastAsia="Lato" w:hAnsi="Lato"/>
                <w:rtl w:val="0"/>
              </w:rPr>
              <w:t xml:space="preserve">. </w:t>
              <w:br w:type="textWrapping"/>
              <w:t xml:space="preserve">42 U.S.C. §§ 12101 </w:t>
            </w:r>
            <w:r w:rsidDel="00000000" w:rsidR="00000000" w:rsidRPr="00000000">
              <w:rPr>
                <w:rFonts w:ascii="Lato" w:cs="Lato" w:eastAsia="Lato" w:hAnsi="Lato"/>
                <w:i w:val="1"/>
                <w:rtl w:val="0"/>
              </w:rPr>
              <w:t xml:space="preserve">et seq</w:t>
            </w:r>
            <w:r w:rsidDel="00000000" w:rsidR="00000000" w:rsidRPr="00000000">
              <w:rPr>
                <w:rFonts w:ascii="Lato" w:cs="Lato" w:eastAsia="Lato" w:hAnsi="Lato"/>
                <w:rtl w:val="0"/>
              </w:rPr>
              <w:t xml:space="preserve">.</w:t>
              <w:br w:type="textWrapping"/>
              <w:t xml:space="preserve">Iowa Code §§ 19B; 20; 35C; 73; 216; 279.8.</w:t>
              <w:br w:type="textWrapping"/>
              <w:t xml:space="preserve">281 I.A.C. 12.4; 95.</w:t>
            </w:r>
          </w:p>
        </w:tc>
      </w:tr>
    </w:tbl>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C">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19B</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9">
              <w:r w:rsidDel="00000000" w:rsidR="00000000" w:rsidRPr="00000000">
                <w:rPr>
                  <w:rFonts w:ascii="Lato" w:cs="Lato" w:eastAsia="Lato" w:hAnsi="Lato"/>
                  <w:color w:val="0563c1"/>
                  <w:u w:val="single"/>
                  <w:rtl w:val="0"/>
                </w:rPr>
                <w:t xml:space="preserve">Equal Opportunity and Affirmative Action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w:cs="Lato" w:eastAsia="Lato" w:hAnsi="Lato"/>
                <w:rtl w:val="0"/>
              </w:rPr>
              <w:t xml:space="preserve">Iowa Code  § 20</w:t>
            </w:r>
            <w:r w:rsidDel="00000000" w:rsidR="00000000" w:rsidRPr="00000000">
              <w:rPr>
                <w:rtl w:val="0"/>
              </w:rPr>
            </w:r>
          </w:p>
        </w:tc>
        <w:tc>
          <w:tcPr>
            <w:tcMar>
              <w:top w:w="0.0" w:type="dxa"/>
              <w:bottom w:w="0.0" w:type="dxa"/>
            </w:tcMar>
          </w:tcPr>
          <w:p w:rsidR="00000000" w:rsidDel="00000000" w:rsidP="00000000" w:rsidRDefault="00000000" w:rsidRPr="00000000" w14:paraId="00000012">
            <w:pPr>
              <w:rPr/>
            </w:pPr>
            <w:hyperlink r:id="rId10">
              <w:r w:rsidDel="00000000" w:rsidR="00000000" w:rsidRPr="00000000">
                <w:rPr>
                  <w:rFonts w:ascii="Lato" w:cs="Lato" w:eastAsia="Lato" w:hAnsi="Lato"/>
                  <w:color w:val="0563c1"/>
                  <w:u w:val="single"/>
                  <w:rtl w:val="0"/>
                </w:rPr>
                <w:t xml:space="preserve">Collective Bargaining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Iowa Code  § 216</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11">
              <w:r w:rsidDel="00000000" w:rsidR="00000000" w:rsidRPr="00000000">
                <w:rPr>
                  <w:rFonts w:ascii="Lato" w:cs="Lato" w:eastAsia="Lato" w:hAnsi="Lato"/>
                  <w:color w:val="0563c1"/>
                  <w:u w:val="single"/>
                  <w:rtl w:val="0"/>
                </w:rPr>
                <w:t xml:space="preserve">Civil RIghts Commission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12">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Iowa Code  § 35C</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3">
              <w:r w:rsidDel="00000000" w:rsidR="00000000" w:rsidRPr="00000000">
                <w:rPr>
                  <w:rFonts w:ascii="Lato" w:cs="Lato" w:eastAsia="Lato" w:hAnsi="Lato"/>
                  <w:color w:val="0563c1"/>
                  <w:u w:val="single"/>
                  <w:rtl w:val="0"/>
                </w:rPr>
                <w:t xml:space="preserve">Veterans Preference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Iowa Code § 73</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4">
              <w:r w:rsidDel="00000000" w:rsidR="00000000" w:rsidRPr="00000000">
                <w:rPr>
                  <w:rFonts w:ascii="Lato" w:cs="Lato" w:eastAsia="Lato" w:hAnsi="Lato"/>
                  <w:color w:val="0563c1"/>
                  <w:u w:val="single"/>
                  <w:rtl w:val="0"/>
                </w:rPr>
                <w:t xml:space="preserve">Preferences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281 I.A.C. 12.4</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5">
              <w:r w:rsidDel="00000000" w:rsidR="00000000" w:rsidRPr="00000000">
                <w:rPr>
                  <w:rFonts w:ascii="Lato" w:cs="Lato" w:eastAsia="Lato" w:hAnsi="Lato"/>
                  <w:color w:val="0563c1"/>
                  <w:u w:val="single"/>
                  <w:rtl w:val="0"/>
                </w:rPr>
                <w:t xml:space="preserve">School Personnel</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281 I.A.C. 95</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6">
              <w:r w:rsidDel="00000000" w:rsidR="00000000" w:rsidRPr="00000000">
                <w:rPr>
                  <w:rFonts w:ascii="Lato" w:cs="Lato" w:eastAsia="Lato" w:hAnsi="Lato"/>
                  <w:color w:val="0563c1"/>
                  <w:u w:val="single"/>
                  <w:rtl w:val="0"/>
                </w:rPr>
                <w:t xml:space="preserve">EEO/AA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29 U.S.C. §§ 621</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7">
              <w:r w:rsidDel="00000000" w:rsidR="00000000" w:rsidRPr="00000000">
                <w:rPr>
                  <w:rFonts w:ascii="Lato" w:cs="Lato" w:eastAsia="Lato" w:hAnsi="Lato"/>
                  <w:color w:val="0563c1"/>
                  <w:u w:val="single"/>
                  <w:rtl w:val="0"/>
                </w:rPr>
                <w:t xml:space="preserve">Labor - Age 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8">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42 U.S.C. § 2000e</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9">
              <w:r w:rsidDel="00000000" w:rsidR="00000000" w:rsidRPr="00000000">
                <w:rPr>
                  <w:rFonts w:ascii="Lato" w:cs="Lato" w:eastAsia="Lato" w:hAnsi="Lato"/>
                  <w:color w:val="0563c1"/>
                  <w:u w:val="single"/>
                  <w:rtl w:val="0"/>
                </w:rPr>
                <w:t xml:space="preserve">Public Health - EEO Civil Rights - Definitions</w:t>
              </w:r>
            </w:hyperlink>
            <w:r w:rsidDel="00000000" w:rsidR="00000000" w:rsidRPr="00000000">
              <w:rPr>
                <w:rtl w:val="0"/>
              </w:rPr>
            </w:r>
          </w:p>
        </w:tc>
      </w:tr>
    </w:tbl>
    <w:p w:rsidR="00000000" w:rsidDel="00000000" w:rsidP="00000000" w:rsidRDefault="00000000" w:rsidRPr="00000000" w14:paraId="00000029">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102</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20">
              <w:r w:rsidDel="00000000" w:rsidR="00000000" w:rsidRPr="00000000">
                <w:rPr>
                  <w:rFonts w:ascii="Lato" w:cs="Lato" w:eastAsia="Lato" w:hAnsi="Lato"/>
                  <w:color w:val="0563c1"/>
                  <w:u w:val="single"/>
                  <w:rtl w:val="0"/>
                </w:rPr>
                <w:t xml:space="preserve">Equal Educational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w:cs="Lato" w:eastAsia="Lato" w:hAnsi="Lato"/>
                <w:rtl w:val="0"/>
              </w:rPr>
              <w:t xml:space="preserve">102-R(1)</w:t>
            </w:r>
            <w:r w:rsidDel="00000000" w:rsidR="00000000" w:rsidRPr="00000000">
              <w:rPr>
                <w:rtl w:val="0"/>
              </w:rPr>
            </w:r>
          </w:p>
        </w:tc>
        <w:tc>
          <w:tcPr>
            <w:tcMar>
              <w:top w:w="0.0" w:type="dxa"/>
              <w:bottom w:w="0.0" w:type="dxa"/>
            </w:tcMar>
          </w:tcPr>
          <w:p w:rsidR="00000000" w:rsidDel="00000000" w:rsidP="00000000" w:rsidRDefault="00000000" w:rsidRPr="00000000" w14:paraId="0000002F">
            <w:pPr>
              <w:rPr/>
            </w:pPr>
            <w:hyperlink r:id="rId21">
              <w:r w:rsidDel="00000000" w:rsidR="00000000" w:rsidRPr="00000000">
                <w:rPr>
                  <w:rFonts w:ascii="Lato" w:cs="Lato" w:eastAsia="Lato" w:hAnsi="Lato"/>
                  <w:color w:val="0563c1"/>
                  <w:u w:val="single"/>
                  <w:rtl w:val="0"/>
                </w:rPr>
                <w:t xml:space="preserve">Equal Educational Opportunity - Grievance Procedure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w:cs="Lato" w:eastAsia="Lato" w:hAnsi="Lato"/>
                <w:rtl w:val="0"/>
              </w:rPr>
              <w:t xml:space="preserve">102-EH(1)</w:t>
            </w:r>
            <w:r w:rsidDel="00000000" w:rsidR="00000000" w:rsidRPr="00000000">
              <w:rPr>
                <w:rtl w:val="0"/>
              </w:rPr>
            </w:r>
          </w:p>
        </w:tc>
        <w:tc>
          <w:tcPr>
            <w:tcMar>
              <w:top w:w="0.0" w:type="dxa"/>
              <w:bottom w:w="0.0" w:type="dxa"/>
            </w:tcMar>
          </w:tcPr>
          <w:p w:rsidR="00000000" w:rsidDel="00000000" w:rsidP="00000000" w:rsidRDefault="00000000" w:rsidRPr="00000000" w14:paraId="00000031">
            <w:pPr>
              <w:rPr/>
            </w:pPr>
            <w:hyperlink r:id="rId22">
              <w:r w:rsidDel="00000000" w:rsidR="00000000" w:rsidRPr="00000000">
                <w:rPr>
                  <w:rFonts w:ascii="Lato" w:cs="Lato" w:eastAsia="Lato" w:hAnsi="Lato"/>
                  <w:color w:val="0563c1"/>
                  <w:u w:val="single"/>
                  <w:rtl w:val="0"/>
                </w:rPr>
                <w:t xml:space="preserve">Equal Educational Opportunity - Annual Notice of Nondiscrimination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w:cs="Lato" w:eastAsia="Lato" w:hAnsi="Lato"/>
                <w:rtl w:val="0"/>
              </w:rPr>
              <w:t xml:space="preserve">102-EH(2)</w:t>
            </w:r>
            <w:r w:rsidDel="00000000" w:rsidR="00000000" w:rsidRPr="00000000">
              <w:rPr>
                <w:rtl w:val="0"/>
              </w:rPr>
            </w:r>
          </w:p>
        </w:tc>
        <w:tc>
          <w:tcPr>
            <w:tcMar>
              <w:top w:w="0.0" w:type="dxa"/>
              <w:bottom w:w="0.0" w:type="dxa"/>
            </w:tcMar>
          </w:tcPr>
          <w:p w:rsidR="00000000" w:rsidDel="00000000" w:rsidP="00000000" w:rsidRDefault="00000000" w:rsidRPr="00000000" w14:paraId="00000033">
            <w:pPr>
              <w:rPr/>
            </w:pPr>
            <w:hyperlink r:id="rId23">
              <w:r w:rsidDel="00000000" w:rsidR="00000000" w:rsidRPr="00000000">
                <w:rPr>
                  <w:rFonts w:ascii="Lato" w:cs="Lato" w:eastAsia="Lato" w:hAnsi="Lato"/>
                  <w:color w:val="0563c1"/>
                  <w:u w:val="single"/>
                  <w:rtl w:val="0"/>
                </w:rPr>
                <w:t xml:space="preserve">Equal Educational Opportunity - Continuous Notice of Nondiscrimination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w:cs="Lato" w:eastAsia="Lato" w:hAnsi="Lato"/>
                <w:rtl w:val="0"/>
              </w:rPr>
              <w:t xml:space="preserve">102-EH(3)</w:t>
            </w:r>
            <w:r w:rsidDel="00000000" w:rsidR="00000000" w:rsidRPr="00000000">
              <w:rPr>
                <w:rtl w:val="0"/>
              </w:rPr>
            </w:r>
          </w:p>
        </w:tc>
        <w:tc>
          <w:tcPr>
            <w:tcMar>
              <w:top w:w="0.0" w:type="dxa"/>
              <w:bottom w:w="0.0" w:type="dxa"/>
            </w:tcMar>
          </w:tcPr>
          <w:p w:rsidR="00000000" w:rsidDel="00000000" w:rsidP="00000000" w:rsidRDefault="00000000" w:rsidRPr="00000000" w14:paraId="00000035">
            <w:pPr>
              <w:rPr/>
            </w:pPr>
            <w:hyperlink r:id="rId24">
              <w:r w:rsidDel="00000000" w:rsidR="00000000" w:rsidRPr="00000000">
                <w:rPr>
                  <w:rFonts w:ascii="Lato" w:cs="Lato" w:eastAsia="Lato" w:hAnsi="Lato"/>
                  <w:color w:val="0563c1"/>
                  <w:u w:val="single"/>
                  <w:rtl w:val="0"/>
                </w:rPr>
                <w:t xml:space="preserve">Equal Educational Opportunity - Notice of Section 504 Student and Parental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6">
            <w:pPr>
              <w:spacing w:after="0" w:lineRule="auto"/>
              <w:rPr/>
            </w:pPr>
            <w:r w:rsidDel="00000000" w:rsidR="00000000" w:rsidRPr="00000000">
              <w:rPr>
                <w:rFonts w:ascii="Lato" w:cs="Lato" w:eastAsia="Lato" w:hAnsi="Lato"/>
                <w:rtl w:val="0"/>
              </w:rPr>
              <w:t xml:space="preserve">102-E(4)</w:t>
            </w:r>
            <w:r w:rsidDel="00000000" w:rsidR="00000000" w:rsidRPr="00000000">
              <w:rPr>
                <w:rtl w:val="0"/>
              </w:rPr>
            </w:r>
          </w:p>
        </w:tc>
        <w:tc>
          <w:tcPr>
            <w:tcMar>
              <w:top w:w="0.0" w:type="dxa"/>
              <w:bottom w:w="0.0" w:type="dxa"/>
            </w:tcMar>
          </w:tcPr>
          <w:p w:rsidR="00000000" w:rsidDel="00000000" w:rsidP="00000000" w:rsidRDefault="00000000" w:rsidRPr="00000000" w14:paraId="00000037">
            <w:pPr>
              <w:rPr/>
            </w:pPr>
            <w:hyperlink r:id="rId25">
              <w:r w:rsidDel="00000000" w:rsidR="00000000" w:rsidRPr="00000000">
                <w:rPr>
                  <w:rFonts w:ascii="Lato" w:cs="Lato" w:eastAsia="Lato" w:hAnsi="Lato"/>
                  <w:color w:val="0563c1"/>
                  <w:u w:val="single"/>
                  <w:rtl w:val="0"/>
                </w:rPr>
                <w:t xml:space="preserve">Equal Educational Opportunity - Discrimination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8">
            <w:pPr>
              <w:spacing w:after="0" w:lineRule="auto"/>
              <w:rPr/>
            </w:pPr>
            <w:r w:rsidDel="00000000" w:rsidR="00000000" w:rsidRPr="00000000">
              <w:rPr>
                <w:rFonts w:ascii="Lato" w:cs="Lato" w:eastAsia="Lato" w:hAnsi="Lato"/>
                <w:rtl w:val="0"/>
              </w:rPr>
              <w:t xml:space="preserve">102-E(5)</w:t>
            </w:r>
            <w:r w:rsidDel="00000000" w:rsidR="00000000" w:rsidRPr="00000000">
              <w:rPr>
                <w:rtl w:val="0"/>
              </w:rPr>
            </w:r>
          </w:p>
        </w:tc>
        <w:tc>
          <w:tcPr>
            <w:tcMar>
              <w:top w:w="0.0" w:type="dxa"/>
              <w:bottom w:w="0.0" w:type="dxa"/>
            </w:tcMar>
          </w:tcPr>
          <w:p w:rsidR="00000000" w:rsidDel="00000000" w:rsidP="00000000" w:rsidRDefault="00000000" w:rsidRPr="00000000" w14:paraId="00000039">
            <w:pPr>
              <w:rPr/>
            </w:pPr>
            <w:hyperlink r:id="rId26">
              <w:r w:rsidDel="00000000" w:rsidR="00000000" w:rsidRPr="00000000">
                <w:rPr>
                  <w:rFonts w:ascii="Lato" w:cs="Lato" w:eastAsia="Lato" w:hAnsi="Lato"/>
                  <w:color w:val="0563c1"/>
                  <w:u w:val="single"/>
                  <w:rtl w:val="0"/>
                </w:rPr>
                <w:t xml:space="preserve">Equal Educational Opportunity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A">
            <w:pPr>
              <w:spacing w:after="0" w:lineRule="auto"/>
              <w:rPr/>
            </w:pPr>
            <w:r w:rsidDel="00000000" w:rsidR="00000000" w:rsidRPr="00000000">
              <w:rPr>
                <w:rFonts w:ascii="Lato" w:cs="Lato" w:eastAsia="Lato" w:hAnsi="Lato"/>
                <w:rtl w:val="0"/>
              </w:rPr>
              <w:t xml:space="preserve">102-E(6)</w:t>
            </w:r>
            <w:r w:rsidDel="00000000" w:rsidR="00000000" w:rsidRPr="00000000">
              <w:rPr>
                <w:rtl w:val="0"/>
              </w:rPr>
            </w:r>
          </w:p>
        </w:tc>
        <w:tc>
          <w:tcPr>
            <w:tcMar>
              <w:top w:w="0.0" w:type="dxa"/>
              <w:bottom w:w="0.0" w:type="dxa"/>
            </w:tcMar>
          </w:tcPr>
          <w:p w:rsidR="00000000" w:rsidDel="00000000" w:rsidP="00000000" w:rsidRDefault="00000000" w:rsidRPr="00000000" w14:paraId="0000003B">
            <w:pPr>
              <w:rPr/>
            </w:pPr>
            <w:hyperlink r:id="rId27">
              <w:r w:rsidDel="00000000" w:rsidR="00000000" w:rsidRPr="00000000">
                <w:rPr>
                  <w:rFonts w:ascii="Lato" w:cs="Lato" w:eastAsia="Lato" w:hAnsi="Lato"/>
                  <w:color w:val="0563c1"/>
                  <w:u w:val="single"/>
                  <w:rtl w:val="0"/>
                </w:rPr>
                <w:t xml:space="preserve">Equal Educational Opportunity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C">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3D">
            <w:pPr>
              <w:rPr/>
            </w:pPr>
            <w:hyperlink r:id="rId28">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E">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3F">
            <w:pPr>
              <w:rPr/>
            </w:pPr>
            <w:hyperlink r:id="rId29">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0">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41">
            <w:pPr>
              <w:rPr/>
            </w:pPr>
            <w:hyperlink r:id="rId30">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2">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43">
            <w:pPr>
              <w:rPr/>
            </w:pPr>
            <w:hyperlink r:id="rId31">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4">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45">
            <w:pPr>
              <w:rPr/>
            </w:pPr>
            <w:hyperlink r:id="rId32">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6">
            <w:pPr>
              <w:spacing w:after="0" w:lineRule="auto"/>
              <w:rPr/>
            </w:pPr>
            <w:r w:rsidDel="00000000" w:rsidR="00000000" w:rsidRPr="00000000">
              <w:rPr>
                <w:rFonts w:ascii="Lato" w:cs="Lato" w:eastAsia="Lato" w:hAnsi="Lato"/>
                <w:rtl w:val="0"/>
              </w:rPr>
              <w:t xml:space="preserve">405.02</w:t>
            </w:r>
            <w:r w:rsidDel="00000000" w:rsidR="00000000" w:rsidRPr="00000000">
              <w:rPr>
                <w:rtl w:val="0"/>
              </w:rPr>
            </w:r>
          </w:p>
        </w:tc>
        <w:tc>
          <w:tcPr>
            <w:tcMar>
              <w:top w:w="0.0" w:type="dxa"/>
              <w:bottom w:w="0.0" w:type="dxa"/>
            </w:tcMar>
          </w:tcPr>
          <w:p w:rsidR="00000000" w:rsidDel="00000000" w:rsidP="00000000" w:rsidRDefault="00000000" w:rsidRPr="00000000" w14:paraId="00000047">
            <w:pPr>
              <w:rPr/>
            </w:pPr>
            <w:hyperlink r:id="rId33">
              <w:r w:rsidDel="00000000" w:rsidR="00000000" w:rsidRPr="00000000">
                <w:rPr>
                  <w:rFonts w:ascii="Lato" w:cs="Lato" w:eastAsia="Lato" w:hAnsi="Lato"/>
                  <w:color w:val="0563c1"/>
                  <w:u w:val="single"/>
                  <w:rtl w:val="0"/>
                </w:rPr>
                <w:t xml:space="preserve">Licensed Employee Qualifications, Recruitment, Selection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8">
            <w:pPr>
              <w:spacing w:after="0" w:lineRule="auto"/>
              <w:rPr/>
            </w:pPr>
            <w:r w:rsidDel="00000000" w:rsidR="00000000" w:rsidRPr="00000000">
              <w:rPr>
                <w:rFonts w:ascii="Lato" w:cs="Lato" w:eastAsia="Lato" w:hAnsi="Lato"/>
                <w:rtl w:val="0"/>
              </w:rPr>
              <w:t xml:space="preserve">411.02</w:t>
            </w:r>
            <w:r w:rsidDel="00000000" w:rsidR="00000000" w:rsidRPr="00000000">
              <w:rPr>
                <w:rtl w:val="0"/>
              </w:rPr>
            </w:r>
          </w:p>
        </w:tc>
        <w:tc>
          <w:tcPr>
            <w:tcMar>
              <w:top w:w="0.0" w:type="dxa"/>
              <w:bottom w:w="0.0" w:type="dxa"/>
            </w:tcMar>
          </w:tcPr>
          <w:p w:rsidR="00000000" w:rsidDel="00000000" w:rsidP="00000000" w:rsidRDefault="00000000" w:rsidRPr="00000000" w14:paraId="00000049">
            <w:pPr>
              <w:rPr/>
            </w:pPr>
            <w:hyperlink r:id="rId34">
              <w:r w:rsidDel="00000000" w:rsidR="00000000" w:rsidRPr="00000000">
                <w:rPr>
                  <w:rFonts w:ascii="Lato" w:cs="Lato" w:eastAsia="Lato" w:hAnsi="Lato"/>
                  <w:color w:val="0563c1"/>
                  <w:u w:val="single"/>
                  <w:rtl w:val="0"/>
                </w:rPr>
                <w:t xml:space="preserve">Classified Employee Qualifications, Recruitment, Selection</w:t>
              </w:r>
            </w:hyperlink>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Pr>
      <w:color w:val="0000ff"/>
      <w:u w:val="single"/>
    </w:rPr>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JORt4gFgIMfkiScatxaK2w==" TargetMode="External"/><Relationship Id="rId22" Type="http://schemas.openxmlformats.org/officeDocument/2006/relationships/hyperlink" Target="https://simbli.eboardsolutions.com/Policy/ViewPolicy.aspx?S=36031104&amp;revid=YSp4FiyVSqwU2a0yzuqrwA==" TargetMode="External"/><Relationship Id="rId21" Type="http://schemas.openxmlformats.org/officeDocument/2006/relationships/hyperlink" Target="https://simbli.eboardsolutions.com/Policy/ViewPolicy.aspx?S=36031104&amp;revid=Bc4Bmx3hSGHaGyfA6mEE9g==" TargetMode="External"/><Relationship Id="rId24" Type="http://schemas.openxmlformats.org/officeDocument/2006/relationships/hyperlink" Target="https://simbli.eboardsolutions.com/Policy/ViewPolicy.aspx?S=36031104&amp;revid=DpB8KQfBatTn9b180adsVA==" TargetMode="External"/><Relationship Id="rId23" Type="http://schemas.openxmlformats.org/officeDocument/2006/relationships/hyperlink" Target="https://simbli.eboardsolutions.com/Policy/ViewPolicy.aspx?S=36031104&amp;revid=Cy6NdoorfVlw1TWFmZcw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19B.pdf" TargetMode="External"/><Relationship Id="rId26" Type="http://schemas.openxmlformats.org/officeDocument/2006/relationships/hyperlink" Target="https://simbli.eboardsolutions.com/Policy/ViewPolicy.aspx?S=36031104&amp;revid=qjoxe9U2xDjG2Ek8Yfskslshw==" TargetMode="External"/><Relationship Id="rId25" Type="http://schemas.openxmlformats.org/officeDocument/2006/relationships/hyperlink" Target="https://simbli.eboardsolutions.com/Policy/ViewPolicy.aspx?S=36031104&amp;revid=TcRtUyI0Kqzslshz6KyUPuSPA==" TargetMode="External"/><Relationship Id="rId28" Type="http://schemas.openxmlformats.org/officeDocument/2006/relationships/hyperlink" Target="https://simbli.eboardsolutions.com/Policy/ViewPolicy.aspx?S=36031104&amp;revid=ug1fdK0zf0AJ2vNvHoZ04A==" TargetMode="External"/><Relationship Id="rId27" Type="http://schemas.openxmlformats.org/officeDocument/2006/relationships/hyperlink" Target="https://simbli.eboardsolutions.com/Policy/ViewPolicy.aspx?S=36031104&amp;revid=ckslshwToJGinoK4QiVbLtJu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8UvlqvgDOTAX5PNgA5d51A==" TargetMode="External"/><Relationship Id="rId7" Type="http://schemas.openxmlformats.org/officeDocument/2006/relationships/hyperlink" Target="http://www.eeoc.gov/field/milwaukee/index.cfm" TargetMode="External"/><Relationship Id="rId8" Type="http://schemas.openxmlformats.org/officeDocument/2006/relationships/hyperlink" Target="http://www.state.ia.us/government/crc/index.html" TargetMode="External"/><Relationship Id="rId31" Type="http://schemas.openxmlformats.org/officeDocument/2006/relationships/hyperlink" Target="https://simbli.eboardsolutions.com/Policy/ViewPolicy.aspx?S=36031104&amp;revid=C4DakFIbOmb20pmNDPzwGw==" TargetMode="External"/><Relationship Id="rId30" Type="http://schemas.openxmlformats.org/officeDocument/2006/relationships/hyperlink" Target="https://simbli.eboardsolutions.com/Policy/ViewPolicy.aspx?S=36031104&amp;revid=eslshmwGPhLCUslshTEdzYzjXMPg==" TargetMode="External"/><Relationship Id="rId11" Type="http://schemas.openxmlformats.org/officeDocument/2006/relationships/hyperlink" Target="https://www.legis.iowa.gov/docs/code/216.pdf" TargetMode="External"/><Relationship Id="rId33" Type="http://schemas.openxmlformats.org/officeDocument/2006/relationships/hyperlink" Target="https://simbli.eboardsolutions.com/Policy/ViewPolicy.aspx?S=36031104&amp;revid=9jTa5bgpP4plusjNeDXPIHOCg==" TargetMode="External"/><Relationship Id="rId10" Type="http://schemas.openxmlformats.org/officeDocument/2006/relationships/hyperlink" Target="https://www.legis.iowa.gov/docs/code/20.pdf" TargetMode="External"/><Relationship Id="rId32" Type="http://schemas.openxmlformats.org/officeDocument/2006/relationships/hyperlink" Target="https://simbli.eboardsolutions.com/Policy/ViewPolicy.aspx?S=36031104&amp;revid=LtRnZOfVJPfTAfsvobfkaA==" TargetMode="External"/><Relationship Id="rId13" Type="http://schemas.openxmlformats.org/officeDocument/2006/relationships/hyperlink" Target="https://www.legis.iowa.gov/docs/code/35c.pdf" TargetMode="External"/><Relationship Id="rId12" Type="http://schemas.openxmlformats.org/officeDocument/2006/relationships/hyperlink" Target="https://www.legis.iowa.gov/docs/code/279.8.pdf" TargetMode="External"/><Relationship Id="rId34" Type="http://schemas.openxmlformats.org/officeDocument/2006/relationships/hyperlink" Target="https://simbli.eboardsolutions.com/Policy/ViewPolicy.aspx?S=36031104&amp;revid=VQQRgmkQt1H2uzbGDqXofQ==" TargetMode="External"/><Relationship Id="rId15" Type="http://schemas.openxmlformats.org/officeDocument/2006/relationships/hyperlink" Target="https://www.legis.iowa.gov/docs/iac/rule/281.12.4.pdf" TargetMode="External"/><Relationship Id="rId14" Type="http://schemas.openxmlformats.org/officeDocument/2006/relationships/hyperlink" Target="https://www.legis.iowa.gov/docs/code/73.pdf" TargetMode="External"/><Relationship Id="rId17" Type="http://schemas.openxmlformats.org/officeDocument/2006/relationships/hyperlink" Target="https://www.govinfo.gov/app/details/USCODE-2017-title29/USCODE-2017-title29-chap14-sec621" TargetMode="External"/><Relationship Id="rId16" Type="http://schemas.openxmlformats.org/officeDocument/2006/relationships/hyperlink" Target="https://www.legis.iowa.gov/docs/iac/chapter/281.95.pdf" TargetMode="External"/><Relationship Id="rId19" Type="http://schemas.openxmlformats.org/officeDocument/2006/relationships/hyperlink" Target="https://www.govinfo.gov/app/details/USCODE-2017-title42/USCODE-2017-title42-chap21-subchapVI-sec2000e&amp;collectionCode=USCODE" TargetMode="External"/><Relationship Id="rId18" Type="http://schemas.openxmlformats.org/officeDocument/2006/relationships/hyperlink" Target="https://www.govinfo.gov/app/details/USCODE-2017-title42/USCODE-2017-title42-chap126-sec121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5Eelkppgwo8zM2xMjdnaVLMm6Q==">CgMxLjAyCGguZ2pkZ3hzOAByITFJWHdYS1lEdlR4REpQSG9fQXRkSXhmdjhPaUVlcmNyZA==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2023-12-13T16:35:00Z</dcterms:created>
  <dc:creator>Linda Heisdorffer</dc:creator>
</cp:coreProperties>
</file>